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7CBC283E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960D379" w14:textId="77777777" w:rsidR="009125D5" w:rsidRDefault="009125D5" w:rsidP="00B913C9">
      <w:pPr>
        <w:pStyle w:val="Normale1"/>
        <w:rPr>
          <w:rFonts w:ascii="Georgia" w:hAnsi="Georgia"/>
        </w:rPr>
      </w:pPr>
    </w:p>
    <w:p w14:paraId="3CA049EE" w14:textId="77777777" w:rsidR="009F05DB" w:rsidRDefault="009F05DB" w:rsidP="009F05DB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677D0ED" w14:textId="77777777" w:rsidR="009F05DB" w:rsidRDefault="009F05DB" w:rsidP="009F05DB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29DBA05" w14:textId="5CD8711A" w:rsidR="00F6437E" w:rsidRPr="009F05DB" w:rsidRDefault="009F05DB" w:rsidP="009F05DB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F05DB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3E274104" w14:textId="74B8E270" w:rsidR="009F05DB" w:rsidRPr="009F05DB" w:rsidRDefault="009F05DB" w:rsidP="009F05DB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9F05DB">
        <w:rPr>
          <w:rFonts w:ascii="Times New Roman" w:hAnsi="Times New Roman" w:cs="Times New Roman"/>
          <w:sz w:val="24"/>
          <w:szCs w:val="24"/>
        </w:rPr>
        <w:t>Macerata 10.04.2024</w:t>
      </w:r>
    </w:p>
    <w:p w14:paraId="2094CF18" w14:textId="77777777" w:rsidR="009F05DB" w:rsidRPr="009F05DB" w:rsidRDefault="009F05DB" w:rsidP="009F05DB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0423527" w14:textId="11067D2F" w:rsidR="005A4B93" w:rsidRPr="00F03B6A" w:rsidRDefault="009F05DB" w:rsidP="009F05DB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9F05DB">
        <w:rPr>
          <w:rFonts w:ascii="Times New Roman" w:hAnsi="Times New Roman" w:cs="Times New Roman"/>
          <w:sz w:val="24"/>
          <w:szCs w:val="24"/>
        </w:rPr>
        <w:t>Info/58.24/IMPIANTI PORTUALI RACCOLTA RIFIUTI NAVI: revisione disciplina</w:t>
      </w:r>
    </w:p>
    <w:p w14:paraId="583A7C69" w14:textId="77777777" w:rsidR="009F05DB" w:rsidRDefault="009F05DB" w:rsidP="008B7768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</w:p>
    <w:p w14:paraId="17C90140" w14:textId="6D97162C" w:rsidR="008B7768" w:rsidRPr="008B7768" w:rsidRDefault="008B7768" w:rsidP="008B7768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8B7768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IMPIANTI PORTUALI PER CONFERIMENTO DEI RIFIUTI DALLE NAVI  </w:t>
      </w:r>
    </w:p>
    <w:p w14:paraId="3C6E2BD3" w14:textId="1FF2AABA" w:rsidR="00281E38" w:rsidRDefault="008B7768" w:rsidP="009F05DB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8B7768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MODIFICA E ADEGUAMENTO DELLA NORMATIVA</w:t>
      </w:r>
    </w:p>
    <w:p w14:paraId="56E35875" w14:textId="35ABA0BA" w:rsidR="009F05DB" w:rsidRPr="009F05DB" w:rsidRDefault="009F05DB" w:rsidP="009F05DB">
      <w:pPr>
        <w:pStyle w:val="Normale1"/>
      </w:pPr>
      <w:r>
        <w:t>-----------------------------------------------------------------------------------------------------------------</w:t>
      </w:r>
    </w:p>
    <w:p w14:paraId="11376414" w14:textId="77777777" w:rsidR="009F05DB" w:rsidRPr="009F05DB" w:rsidRDefault="009F05DB" w:rsidP="009F05DB">
      <w:pPr>
        <w:pStyle w:val="Normale1"/>
      </w:pPr>
    </w:p>
    <w:p w14:paraId="26FC544E" w14:textId="661884A5" w:rsidR="008B7768" w:rsidRPr="008B7768" w:rsidRDefault="00281E38" w:rsidP="008B7768">
      <w:pPr>
        <w:pStyle w:val="NormaleWeb"/>
        <w:spacing w:before="0" w:beforeAutospacing="0" w:after="375" w:afterAutospacing="0"/>
        <w:jc w:val="both"/>
      </w:pPr>
      <w:r w:rsidRPr="0013381D">
        <w:rPr>
          <w:b/>
          <w:bCs/>
        </w:rPr>
        <w:t>L</w:t>
      </w:r>
      <w:r w:rsidR="0013381D" w:rsidRPr="0013381D">
        <w:rPr>
          <w:b/>
          <w:bCs/>
        </w:rPr>
        <w:t>a</w:t>
      </w:r>
      <w:r w:rsidRPr="0013381D">
        <w:rPr>
          <w:b/>
          <w:bCs/>
        </w:rPr>
        <w:t xml:space="preserve"> disciplina degli impianti portuali di raccolta per il conferimento dei rifiuti da navi</w:t>
      </w:r>
      <w:r>
        <w:t>, regolata dal Dlgs 197/2021 (</w:t>
      </w:r>
      <w:r w:rsidR="0013381D">
        <w:t>v</w:t>
      </w:r>
      <w:r>
        <w:t xml:space="preserve">. </w:t>
      </w:r>
      <w:r w:rsidR="0013381D">
        <w:t>n</w:t>
      </w:r>
      <w:r>
        <w:t>s. precedente informativa riportata in calce</w:t>
      </w:r>
      <w:r w:rsidR="0013381D">
        <w:t>)</w:t>
      </w:r>
      <w:r>
        <w:t xml:space="preserve"> </w:t>
      </w:r>
      <w:r w:rsidR="0013381D">
        <w:t xml:space="preserve">viene rinnovata </w:t>
      </w:r>
      <w:r w:rsidR="009F05DB">
        <w:t xml:space="preserve">con </w:t>
      </w:r>
      <w:r w:rsidR="0013381D">
        <w:t xml:space="preserve">la pubblicazione del </w:t>
      </w:r>
      <w:r w:rsidR="008B7768" w:rsidRPr="008B7768">
        <w:t>Decreto legislativo 8 marzo 2024, n. 46 recante “</w:t>
      </w:r>
      <w:r w:rsidR="008B7768" w:rsidRPr="008B7768">
        <w:rPr>
          <w:rStyle w:val="Enfasigrassetto"/>
          <w:i/>
          <w:iCs/>
        </w:rPr>
        <w:t>Disposizioni integrative e correttive al decreto legislativo 8 novembre 2021, n. 197</w:t>
      </w:r>
      <w:r w:rsidR="008B7768" w:rsidRPr="008B7768">
        <w:rPr>
          <w:i/>
          <w:iCs/>
        </w:rPr>
        <w:t>, di recepimento della direttiva (UE) 2019/883, del Parlamento europeo e del Consiglio, del 17 aprile 2019, relativa agli </w:t>
      </w:r>
      <w:r w:rsidR="008B7768" w:rsidRPr="008B7768">
        <w:rPr>
          <w:rStyle w:val="Enfasigrassetto"/>
          <w:i/>
          <w:iCs/>
        </w:rPr>
        <w:t>impianti portuali di raccolta per il conferimento dei rifiuti delle navi</w:t>
      </w:r>
      <w:r w:rsidR="008B7768" w:rsidRPr="008B7768">
        <w:rPr>
          <w:i/>
          <w:iCs/>
        </w:rPr>
        <w:t>, che modifica la direttiva 2010/65/UE e abroga la direttiva 2000/59/CE</w:t>
      </w:r>
      <w:r w:rsidR="009F05DB">
        <w:rPr>
          <w:i/>
          <w:iCs/>
        </w:rPr>
        <w:t>”</w:t>
      </w:r>
      <w:r w:rsidR="008B7768" w:rsidRPr="008B7768">
        <w:t>.</w:t>
      </w:r>
    </w:p>
    <w:p w14:paraId="0F2F72A8" w14:textId="67026658" w:rsidR="009F05DB" w:rsidRDefault="008B7768" w:rsidP="0013381D">
      <w:pPr>
        <w:pStyle w:val="NormaleWeb"/>
        <w:spacing w:before="0" w:beforeAutospacing="0" w:after="375" w:afterAutospacing="0"/>
        <w:jc w:val="both"/>
        <w:rPr>
          <w:b/>
          <w:bCs/>
        </w:rPr>
      </w:pPr>
      <w:r w:rsidRPr="008B7768">
        <w:t>Il provvedimento</w:t>
      </w:r>
      <w:r w:rsidR="009F05DB">
        <w:t>,</w:t>
      </w:r>
      <w:r w:rsidR="009F05DB" w:rsidRPr="008B7768">
        <w:t xml:space="preserve"> che entrerà in vigore il 23 aprile 2024</w:t>
      </w:r>
      <w:r w:rsidR="009F05DB">
        <w:t xml:space="preserve">, </w:t>
      </w:r>
      <w:r w:rsidRPr="008B7768">
        <w:t>interviene sulla disciplina cui sono sottoposti gli impianti portuali per il conferimento dei rifiuti delle navi</w:t>
      </w:r>
      <w:r w:rsidR="009F05DB">
        <w:t xml:space="preserve"> </w:t>
      </w:r>
      <w:r w:rsidR="0013381D" w:rsidRPr="0013381D">
        <w:rPr>
          <w:b/>
          <w:bCs/>
        </w:rPr>
        <w:t>e apre ad accordi fra i gestori degli impianti portuali e gli armatori</w:t>
      </w:r>
      <w:r w:rsidR="009F05DB">
        <w:rPr>
          <w:b/>
          <w:bCs/>
        </w:rPr>
        <w:t xml:space="preserve"> </w:t>
      </w:r>
      <w:r w:rsidR="009F05DB" w:rsidRPr="009F05DB">
        <w:t>ed è finalizzato a</w:t>
      </w:r>
      <w:r w:rsidR="009F05DB">
        <w:rPr>
          <w:b/>
          <w:bCs/>
        </w:rPr>
        <w:t>:</w:t>
      </w:r>
    </w:p>
    <w:p w14:paraId="32A7C408" w14:textId="77777777" w:rsidR="009F05DB" w:rsidRDefault="008B7768" w:rsidP="009F05DB">
      <w:pPr>
        <w:pStyle w:val="NormaleWeb"/>
        <w:numPr>
          <w:ilvl w:val="0"/>
          <w:numId w:val="11"/>
        </w:numPr>
        <w:spacing w:before="0" w:beforeAutospacing="0" w:after="375" w:afterAutospacing="0"/>
        <w:jc w:val="both"/>
      </w:pPr>
      <w:r w:rsidRPr="008B7768">
        <w:t>apportare modifiche volte a consentire una più chiara definizione dell’ambito applicativo di alcune disposizioni, eliminando norme superflue;</w:t>
      </w:r>
    </w:p>
    <w:p w14:paraId="02607B00" w14:textId="01A5046F" w:rsidR="009F05DB" w:rsidRPr="009F05DB" w:rsidRDefault="008B7768" w:rsidP="009F05DB">
      <w:pPr>
        <w:pStyle w:val="NormaleWeb"/>
        <w:numPr>
          <w:ilvl w:val="0"/>
          <w:numId w:val="11"/>
        </w:numPr>
        <w:spacing w:before="0" w:beforeAutospacing="0" w:after="375" w:afterAutospacing="0"/>
        <w:jc w:val="both"/>
      </w:pPr>
      <w:r w:rsidRPr="009F05DB">
        <w:t xml:space="preserve">riscrivere alcune disposizioni del D.lgs. n. 197/2021 e superare difficoltà operative dovute al riparto delle competenze tra le Autorità di sistema portuale e </w:t>
      </w:r>
      <w:r w:rsidRPr="009F05DB">
        <w:rPr>
          <w:b/>
          <w:bCs/>
        </w:rPr>
        <w:t>le Autorità marittime</w:t>
      </w:r>
      <w:r w:rsidRPr="009F05DB">
        <w:t xml:space="preserve"> coinvolte nella gestione degli impianti portuali di raccolta dei rifiuti prodotti dalle navi, </w:t>
      </w:r>
      <w:r w:rsidR="0013381D" w:rsidRPr="009F05DB">
        <w:t xml:space="preserve">le quali saranno proprio quest’ultime </w:t>
      </w:r>
      <w:r w:rsidR="0013381D" w:rsidRPr="009F05DB">
        <w:rPr>
          <w:b/>
          <w:bCs/>
        </w:rPr>
        <w:t>dirette destinatarie della notifica</w:t>
      </w:r>
      <w:r w:rsidR="0013381D" w:rsidRPr="009F05DB">
        <w:t xml:space="preserve"> </w:t>
      </w:r>
      <w:r w:rsidR="0013381D" w:rsidRPr="009F05DB">
        <w:rPr>
          <w:b/>
          <w:bCs/>
        </w:rPr>
        <w:t>anticipata dei rifiuti</w:t>
      </w:r>
      <w:r w:rsidR="0013381D" w:rsidRPr="009F05DB">
        <w:t xml:space="preserve"> da parte del comandante della nave diretta al porto</w:t>
      </w:r>
      <w:r w:rsidR="009F05DB" w:rsidRPr="009F05DB">
        <w:t>;</w:t>
      </w:r>
    </w:p>
    <w:p w14:paraId="5CADC329" w14:textId="6350C8E3" w:rsidR="00193787" w:rsidRPr="009F05DB" w:rsidRDefault="0013381D" w:rsidP="009F05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DB">
        <w:rPr>
          <w:rFonts w:ascii="Times New Roman" w:hAnsi="Times New Roman" w:cs="Times New Roman"/>
          <w:sz w:val="24"/>
          <w:szCs w:val="24"/>
        </w:rPr>
        <w:t>a</w:t>
      </w:r>
      <w:r w:rsidR="008B7768" w:rsidRPr="009F05DB">
        <w:rPr>
          <w:rFonts w:ascii="Times New Roman" w:hAnsi="Times New Roman" w:cs="Times New Roman"/>
          <w:sz w:val="24"/>
          <w:szCs w:val="24"/>
        </w:rPr>
        <w:t>d apportare correzioni dovute alla presenza di alcuni refusi</w:t>
      </w:r>
    </w:p>
    <w:p w14:paraId="6E9AB423" w14:textId="744E7A8A" w:rsidR="008B7768" w:rsidRPr="008B7768" w:rsidRDefault="008B7768" w:rsidP="0019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br/>
        <w:t> </w:t>
      </w:r>
      <w:r w:rsidR="00193787">
        <w:rPr>
          <w:rFonts w:ascii="Times New Roman" w:hAnsi="Times New Roman" w:cs="Times New Roman"/>
          <w:sz w:val="24"/>
          <w:szCs w:val="24"/>
        </w:rPr>
        <w:t>In elenco si segnalano tra le</w:t>
      </w:r>
      <w:r w:rsidRPr="008B7768">
        <w:rPr>
          <w:rFonts w:ascii="Times New Roman" w:hAnsi="Times New Roman" w:cs="Times New Roman"/>
          <w:sz w:val="24"/>
          <w:szCs w:val="24"/>
        </w:rPr>
        <w:t xml:space="preserve"> modifiche di maggior interesse:</w:t>
      </w:r>
    </w:p>
    <w:p w14:paraId="3FFD858C" w14:textId="77777777" w:rsidR="008B7768" w:rsidRPr="009E18BD" w:rsidRDefault="008B7768" w:rsidP="009E18BD">
      <w:pPr>
        <w:pStyle w:val="Paragrafoelenco"/>
        <w:numPr>
          <w:ilvl w:val="0"/>
          <w:numId w:val="12"/>
        </w:numPr>
        <w:jc w:val="both"/>
      </w:pPr>
      <w:r w:rsidRPr="009E18BD">
        <w:rPr>
          <w:rStyle w:val="Enfasigrassetto"/>
        </w:rPr>
        <w:t>ART. 1 (</w:t>
      </w:r>
      <w:r w:rsidRPr="009E18BD">
        <w:rPr>
          <w:rStyle w:val="Enfasigrassetto"/>
          <w:i/>
          <w:iCs/>
        </w:rPr>
        <w:t>Modifiche al Titolo I del decreto legislativo 8 novembre 2021, n. 197)</w:t>
      </w:r>
      <w:r w:rsidRPr="009E18BD">
        <w:t> integra la definizione di "rifiuti delle navi" comprendendo anche i sedimenti;</w:t>
      </w:r>
    </w:p>
    <w:p w14:paraId="615389C0" w14:textId="77777777" w:rsidR="009F05DB" w:rsidRPr="008B7768" w:rsidRDefault="009F05DB" w:rsidP="009F05D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F915CF" w14:textId="77777777" w:rsidR="008B7768" w:rsidRPr="008B7768" w:rsidRDefault="008B7768" w:rsidP="008B77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lastRenderedPageBreak/>
        <w:t>ART. 2 (</w:t>
      </w:r>
      <w:r w:rsidRPr="008B7768">
        <w:rPr>
          <w:rStyle w:val="Enfasigrassetto"/>
          <w:rFonts w:ascii="Times New Roman" w:hAnsi="Times New Roman" w:cs="Times New Roman"/>
          <w:i/>
          <w:iCs/>
          <w:sz w:val="24"/>
          <w:szCs w:val="24"/>
        </w:rPr>
        <w:t>Modifiche al decreto legislativo 8 novembre 2021, n. 197 - Titolo II – Impianti portuali di raccolta</w:t>
      </w: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t>):</w:t>
      </w:r>
    </w:p>
    <w:p w14:paraId="1DC6B11E" w14:textId="77777777" w:rsidR="008B7768" w:rsidRP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 xml:space="preserve">modifica l’art. 4 del D.lgs. n. 197/2021 prevedendo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la possibilità per i gestori degli impianti portuali di raccolta di sottoscrivere accordi con gli armatori e i Consorzi di gestione rifiuti per gestione di particolari tipologie di rifiuti</w:t>
      </w:r>
      <w:r w:rsidRPr="008B7768">
        <w:rPr>
          <w:rFonts w:ascii="Times New Roman" w:hAnsi="Times New Roman" w:cs="Times New Roman"/>
          <w:sz w:val="24"/>
          <w:szCs w:val="24"/>
        </w:rPr>
        <w:t xml:space="preserve"> e l’obbligo di garantire la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conformità degli impianti portuali alle disposizioni in materia di sicurezza sui luoghi di lavoro</w:t>
      </w:r>
      <w:r w:rsidRPr="008B7768">
        <w:rPr>
          <w:rFonts w:ascii="Times New Roman" w:hAnsi="Times New Roman" w:cs="Times New Roman"/>
          <w:sz w:val="24"/>
          <w:szCs w:val="24"/>
        </w:rPr>
        <w:t>, nonché di prevenzione incendi e di ogni altro rischio connesso all’attività svolta;</w:t>
      </w:r>
    </w:p>
    <w:p w14:paraId="49FA0B7E" w14:textId="22C85099" w:rsidR="009E18BD" w:rsidRDefault="008B7768" w:rsidP="009E18B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 xml:space="preserve">modifica l’art. 5 del D.lgs. n. 197/2021 al fine di precisare che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i piani di gestione degli impianti portuali devono essere sottoposti alla procedura di VAS</w:t>
      </w:r>
      <w:r w:rsidRPr="008B7768">
        <w:rPr>
          <w:rFonts w:ascii="Times New Roman" w:hAnsi="Times New Roman" w:cs="Times New Roman"/>
          <w:sz w:val="24"/>
          <w:szCs w:val="24"/>
        </w:rPr>
        <w:t xml:space="preserve"> di cui agli articoli 11 e 12 del decreto legislativo n. 152 del 2006. </w:t>
      </w:r>
    </w:p>
    <w:p w14:paraId="252EA7C0" w14:textId="77777777" w:rsidR="009E18BD" w:rsidRPr="009E18BD" w:rsidRDefault="009E18BD" w:rsidP="009E18B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B24DA" w14:textId="77777777" w:rsidR="008B7768" w:rsidRPr="008B7768" w:rsidRDefault="008B7768" w:rsidP="008B77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t>ART. 3</w:t>
      </w:r>
      <w:r w:rsidRPr="008B7768">
        <w:rPr>
          <w:rFonts w:ascii="Times New Roman" w:hAnsi="Times New Roman" w:cs="Times New Roman"/>
          <w:sz w:val="24"/>
          <w:szCs w:val="24"/>
        </w:rPr>
        <w:t> </w:t>
      </w: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t>(</w:t>
      </w:r>
      <w:r w:rsidRPr="008B7768">
        <w:rPr>
          <w:rStyle w:val="Enfasigrassetto"/>
          <w:rFonts w:ascii="Times New Roman" w:hAnsi="Times New Roman" w:cs="Times New Roman"/>
          <w:i/>
          <w:iCs/>
          <w:sz w:val="24"/>
          <w:szCs w:val="24"/>
        </w:rPr>
        <w:t>Modifiche al decreto legislativo 8 novembre 2021, n. 197 - Titolo III – Conferimento dei rifiuti delle navi</w:t>
      </w: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t>):</w:t>
      </w:r>
    </w:p>
    <w:p w14:paraId="4C219463" w14:textId="77777777" w:rsidR="008B7768" w:rsidRP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 xml:space="preserve">modifica gli artt. 6 e 7 del decreto legislativo n. 197/2021 relativamente agli adempimenti connessi alla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notifica anticipata dei rifiuti</w:t>
      </w:r>
      <w:r w:rsidRPr="008B7768">
        <w:rPr>
          <w:rFonts w:ascii="Times New Roman" w:hAnsi="Times New Roman" w:cs="Times New Roman"/>
          <w:sz w:val="24"/>
          <w:szCs w:val="24"/>
        </w:rPr>
        <w:t xml:space="preserve">, chiarendo che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l'Autorità competente</w:t>
      </w:r>
      <w:r w:rsidRPr="008B7768">
        <w:rPr>
          <w:rFonts w:ascii="Times New Roman" w:hAnsi="Times New Roman" w:cs="Times New Roman"/>
          <w:sz w:val="24"/>
          <w:szCs w:val="24"/>
        </w:rPr>
        <w:t xml:space="preserve"> a ricevere la notifica anticipata dei rifiuti da parte del comandante della nave diretta verso il porto: </w:t>
      </w:r>
      <w:r w:rsidRPr="00193787">
        <w:rPr>
          <w:rFonts w:ascii="Times New Roman" w:hAnsi="Times New Roman" w:cs="Times New Roman"/>
          <w:b/>
          <w:bCs/>
          <w:sz w:val="24"/>
          <w:szCs w:val="24"/>
        </w:rPr>
        <w:t>è l'Autorità marittima</w:t>
      </w:r>
      <w:r w:rsidRPr="008B7768">
        <w:rPr>
          <w:rFonts w:ascii="Times New Roman" w:hAnsi="Times New Roman" w:cs="Times New Roman"/>
          <w:sz w:val="24"/>
          <w:szCs w:val="24"/>
        </w:rPr>
        <w:t xml:space="preserve"> (come era già nel previgente D.lgs. n. 182/2003);</w:t>
      </w:r>
    </w:p>
    <w:p w14:paraId="3F4687F6" w14:textId="77777777" w:rsidR="008B7768" w:rsidRP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>modifica il riparto delle </w:t>
      </w:r>
      <w:r w:rsidRPr="008B7768">
        <w:rPr>
          <w:rFonts w:ascii="Times New Roman" w:hAnsi="Times New Roman" w:cs="Times New Roman"/>
          <w:sz w:val="24"/>
          <w:szCs w:val="24"/>
          <w:u w:val="single"/>
        </w:rPr>
        <w:t xml:space="preserve">competenze per quanto attiene alla </w:t>
      </w:r>
      <w:r w:rsidRPr="00193787">
        <w:rPr>
          <w:rFonts w:ascii="Times New Roman" w:hAnsi="Times New Roman" w:cs="Times New Roman"/>
          <w:b/>
          <w:bCs/>
          <w:sz w:val="24"/>
          <w:szCs w:val="24"/>
          <w:u w:val="single"/>
        </w:rPr>
        <w:t>definizione delle tariffe</w:t>
      </w:r>
      <w:r w:rsidRPr="008B776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7768">
        <w:rPr>
          <w:rFonts w:ascii="Times New Roman" w:hAnsi="Times New Roman" w:cs="Times New Roman"/>
          <w:sz w:val="24"/>
          <w:szCs w:val="24"/>
        </w:rPr>
        <w:t> In particolare, nei porti in cui non risulta competente l’Autorità di Sistema Portuale, la determinazione delle tariffe è assegnata all’ente locale che ha curato le procedure relative all’affidamento del servizio di raccolta e trattamento dei rifiuti delle navi, sentite le Autorità marittime;</w:t>
      </w:r>
    </w:p>
    <w:p w14:paraId="0FDAB4B9" w14:textId="77777777" w:rsidR="008B7768" w:rsidRP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  <w:u w:val="single"/>
        </w:rPr>
        <w:t>modifica l’articolo 8 del D.lgs. n. 197/2021</w:t>
      </w:r>
      <w:r w:rsidRPr="008B7768">
        <w:rPr>
          <w:rFonts w:ascii="Times New Roman" w:hAnsi="Times New Roman" w:cs="Times New Roman"/>
          <w:sz w:val="24"/>
          <w:szCs w:val="24"/>
        </w:rPr>
        <w:t>, chiarendo le modalità di applicazione della tariffa per quelle navi che fanno scalo in più porti ma possono conferire in unico porto (es: navi che svolgono servizi di linea con scali frequenti e regolari) </w:t>
      </w:r>
      <w:r w:rsidRPr="008B7768">
        <w:rPr>
          <w:rFonts w:ascii="Times New Roman" w:hAnsi="Times New Roman" w:cs="Times New Roman"/>
          <w:sz w:val="24"/>
          <w:szCs w:val="24"/>
          <w:u w:val="single"/>
        </w:rPr>
        <w:t>al fine di creare un meccanismo di ripartizione dei proventi tra tutti i porti interessati dagli scali</w:t>
      </w:r>
      <w:r w:rsidRPr="008B7768">
        <w:rPr>
          <w:rFonts w:ascii="Times New Roman" w:hAnsi="Times New Roman" w:cs="Times New Roman"/>
          <w:sz w:val="24"/>
          <w:szCs w:val="24"/>
        </w:rPr>
        <w:t>. </w:t>
      </w:r>
      <w:r w:rsidRPr="008B7768">
        <w:rPr>
          <w:rFonts w:ascii="Times New Roman" w:hAnsi="Times New Roman" w:cs="Times New Roman"/>
          <w:sz w:val="24"/>
          <w:szCs w:val="24"/>
          <w:u w:val="single"/>
        </w:rPr>
        <w:t>In questo modo si contribuisce, per il principio di equità e mutualità, al mantenimento dell’impianto portuale e del servizio nel porto, indipendentemente dall’utilizzo o meno dello stesso per il conferimento dei rifiuti e in linea, ora, con quanto previsto all’art. 8 comma 6 del D.lgs. n. 197/2021</w:t>
      </w:r>
      <w:r w:rsidRPr="008B7768">
        <w:rPr>
          <w:rFonts w:ascii="Times New Roman" w:hAnsi="Times New Roman" w:cs="Times New Roman"/>
          <w:sz w:val="24"/>
          <w:szCs w:val="24"/>
        </w:rPr>
        <w:t>;</w:t>
      </w:r>
    </w:p>
    <w:p w14:paraId="5453D434" w14:textId="77777777" w:rsid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>modifica l’articolo 9 del D.lgs. n. 197/2021 per chiarire che talune competenze sono in capo all’Autorità marittima, in luogo del generico riferimento all’Autorità competente, e per specificare che il porto cui si riferisce il comma 2 del medesimo articolo 9 è il porto di conferimento.</w:t>
      </w:r>
    </w:p>
    <w:p w14:paraId="5F5E7BD7" w14:textId="77777777" w:rsidR="009E18BD" w:rsidRPr="008B7768" w:rsidRDefault="009E18BD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0B52B" w14:textId="77777777" w:rsidR="008B7768" w:rsidRPr="008B7768" w:rsidRDefault="008B7768" w:rsidP="008B77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Style w:val="Enfasigrassetto"/>
          <w:rFonts w:ascii="Times New Roman" w:hAnsi="Times New Roman" w:cs="Times New Roman"/>
          <w:sz w:val="24"/>
          <w:szCs w:val="24"/>
        </w:rPr>
        <w:t>ART. 4 (</w:t>
      </w:r>
      <w:r w:rsidRPr="008B7768">
        <w:rPr>
          <w:rStyle w:val="Enfasigrassetto"/>
          <w:rFonts w:ascii="Times New Roman" w:hAnsi="Times New Roman" w:cs="Times New Roman"/>
          <w:i/>
          <w:iCs/>
          <w:sz w:val="24"/>
          <w:szCs w:val="24"/>
        </w:rPr>
        <w:t>Modifiche al decreto legislativo 8 novembre 2021, n. 197 - Titolo IV - Misure esecutive):</w:t>
      </w:r>
    </w:p>
    <w:p w14:paraId="49330A23" w14:textId="77777777" w:rsidR="008B7768" w:rsidRPr="008B7768" w:rsidRDefault="008B7768" w:rsidP="008B776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68">
        <w:rPr>
          <w:rFonts w:ascii="Times New Roman" w:hAnsi="Times New Roman" w:cs="Times New Roman"/>
          <w:sz w:val="24"/>
          <w:szCs w:val="24"/>
        </w:rPr>
        <w:t>modifica l’articolo 10 del D.lgs. n. 197/2021, al fine di precisare quali siano le risorse utilizzabili per assicurare la copertura finanziaria delle attività ispettive.</w:t>
      </w:r>
      <w:r w:rsidRPr="008B7768">
        <w:rPr>
          <w:rFonts w:ascii="Times New Roman" w:hAnsi="Times New Roman" w:cs="Times New Roman"/>
          <w:sz w:val="24"/>
          <w:szCs w:val="24"/>
        </w:rPr>
        <w:br/>
        <w:t> </w:t>
      </w:r>
    </w:p>
    <w:p w14:paraId="77F5CFF4" w14:textId="46C1D9AC" w:rsidR="005A4B93" w:rsidRPr="009E18BD" w:rsidRDefault="008B7768" w:rsidP="009E18BD">
      <w:pPr>
        <w:pStyle w:val="NormaleWeb"/>
        <w:spacing w:before="0" w:beforeAutospacing="0" w:after="375" w:afterAutospacing="0"/>
        <w:jc w:val="both"/>
      </w:pPr>
      <w:r w:rsidRPr="008B7768">
        <w:t xml:space="preserve">Per </w:t>
      </w:r>
      <w:r w:rsidR="00193787">
        <w:t xml:space="preserve">gli interessati </w:t>
      </w:r>
      <w:r w:rsidR="009F05DB">
        <w:t xml:space="preserve">a </w:t>
      </w:r>
      <w:r w:rsidRPr="008B7768">
        <w:t>ogni ulteriore dettaglio si rimanda al D.lgs. n. 46/2024, riportato in allegato.</w:t>
      </w:r>
    </w:p>
    <w:p w14:paraId="2E90F825" w14:textId="77777777" w:rsidR="009B1E41" w:rsidRDefault="009B1E41" w:rsidP="009E18BD">
      <w:pPr>
        <w:pStyle w:val="Normale1"/>
        <w:jc w:val="both"/>
        <w:rPr>
          <w:rFonts w:ascii="Georgia" w:hAnsi="Georgia"/>
        </w:rPr>
      </w:pPr>
    </w:p>
    <w:p w14:paraId="0A8C6CF3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483C6105" w14:textId="19B2A605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2374B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E8D27" w14:textId="77777777" w:rsidR="002374BC" w:rsidRDefault="002374BC" w:rsidP="00B913C9">
      <w:pPr>
        <w:spacing w:line="240" w:lineRule="auto"/>
      </w:pPr>
      <w:r>
        <w:separator/>
      </w:r>
    </w:p>
  </w:endnote>
  <w:endnote w:type="continuationSeparator" w:id="0">
    <w:p w14:paraId="49E2F68F" w14:textId="77777777" w:rsidR="002374BC" w:rsidRDefault="002374BC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7DF3" w14:textId="77777777" w:rsidR="002374BC" w:rsidRDefault="002374BC" w:rsidP="00B913C9">
      <w:pPr>
        <w:spacing w:line="240" w:lineRule="auto"/>
      </w:pPr>
      <w:r>
        <w:separator/>
      </w:r>
    </w:p>
  </w:footnote>
  <w:footnote w:type="continuationSeparator" w:id="0">
    <w:p w14:paraId="0C55FE02" w14:textId="77777777" w:rsidR="002374BC" w:rsidRDefault="002374BC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0486"/>
    <w:multiLevelType w:val="multilevel"/>
    <w:tmpl w:val="66E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BF5"/>
    <w:multiLevelType w:val="hybridMultilevel"/>
    <w:tmpl w:val="3648DA5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303076"/>
    <w:multiLevelType w:val="multilevel"/>
    <w:tmpl w:val="25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0143"/>
    <w:multiLevelType w:val="multilevel"/>
    <w:tmpl w:val="25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10"/>
  </w:num>
  <w:num w:numId="2" w16cid:durableId="1865240364">
    <w:abstractNumId w:val="9"/>
  </w:num>
  <w:num w:numId="3" w16cid:durableId="1340237603">
    <w:abstractNumId w:val="11"/>
  </w:num>
  <w:num w:numId="4" w16cid:durableId="1338727115">
    <w:abstractNumId w:val="0"/>
  </w:num>
  <w:num w:numId="5" w16cid:durableId="109863168">
    <w:abstractNumId w:val="8"/>
  </w:num>
  <w:num w:numId="6" w16cid:durableId="1203597513">
    <w:abstractNumId w:val="3"/>
  </w:num>
  <w:num w:numId="7" w16cid:durableId="856693683">
    <w:abstractNumId w:val="1"/>
  </w:num>
  <w:num w:numId="8" w16cid:durableId="756437595">
    <w:abstractNumId w:val="6"/>
  </w:num>
  <w:num w:numId="9" w16cid:durableId="1043484507">
    <w:abstractNumId w:val="2"/>
  </w:num>
  <w:num w:numId="10" w16cid:durableId="1872110290">
    <w:abstractNumId w:val="5"/>
  </w:num>
  <w:num w:numId="11" w16cid:durableId="1916164262">
    <w:abstractNumId w:val="4"/>
  </w:num>
  <w:num w:numId="12" w16cid:durableId="663820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107629"/>
    <w:rsid w:val="0013381D"/>
    <w:rsid w:val="00193787"/>
    <w:rsid w:val="001C1B91"/>
    <w:rsid w:val="001F36BA"/>
    <w:rsid w:val="00201986"/>
    <w:rsid w:val="002105F8"/>
    <w:rsid w:val="00227985"/>
    <w:rsid w:val="00232066"/>
    <w:rsid w:val="00234B6E"/>
    <w:rsid w:val="002374BC"/>
    <w:rsid w:val="00254F9F"/>
    <w:rsid w:val="00281E38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6DB7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B7768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18BD"/>
    <w:rsid w:val="009E2468"/>
    <w:rsid w:val="009F05DB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66A65"/>
    <w:rsid w:val="00E9185D"/>
    <w:rsid w:val="00E9794F"/>
    <w:rsid w:val="00EE1886"/>
    <w:rsid w:val="00EF5D33"/>
    <w:rsid w:val="00F03B6A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2</cp:revision>
  <cp:lastPrinted>2022-06-30T08:26:00Z</cp:lastPrinted>
  <dcterms:created xsi:type="dcterms:W3CDTF">2024-04-10T14:45:00Z</dcterms:created>
  <dcterms:modified xsi:type="dcterms:W3CDTF">2024-04-10T14:45:00Z</dcterms:modified>
</cp:coreProperties>
</file>