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11C"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4F62E63D" wp14:editId="2027A1CE">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4D5CD09E"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7CBC283E" w14:textId="77777777" w:rsidR="006B337F" w:rsidRDefault="00B913C9" w:rsidP="00B913C9">
      <w:pPr>
        <w:pStyle w:val="Normale1"/>
        <w:rPr>
          <w:rFonts w:ascii="Georgia" w:hAnsi="Georgia"/>
        </w:rPr>
      </w:pPr>
      <w:r w:rsidRPr="00F20441">
        <w:rPr>
          <w:rFonts w:ascii="Georgia" w:hAnsi="Georgia"/>
        </w:rPr>
        <w:t>dal 1992 al servizio delle imprese e dell’ambiente</w:t>
      </w:r>
    </w:p>
    <w:p w14:paraId="5960D379" w14:textId="77777777" w:rsidR="009125D5" w:rsidRDefault="009125D5" w:rsidP="00B913C9">
      <w:pPr>
        <w:pStyle w:val="Normale1"/>
        <w:rPr>
          <w:rFonts w:ascii="Georgia" w:hAnsi="Georgia"/>
        </w:rPr>
      </w:pPr>
    </w:p>
    <w:p w14:paraId="729DBA05" w14:textId="77777777" w:rsidR="00F6437E" w:rsidRDefault="00F6437E" w:rsidP="00B913C9">
      <w:pPr>
        <w:pStyle w:val="Normale1"/>
        <w:rPr>
          <w:rFonts w:ascii="Georgia" w:hAnsi="Georgia"/>
        </w:rPr>
      </w:pPr>
    </w:p>
    <w:p w14:paraId="27F655B1" w14:textId="32DD28A5" w:rsidR="00B665BE" w:rsidRDefault="0040740F" w:rsidP="0040740F">
      <w:pPr>
        <w:pStyle w:val="Normale1"/>
        <w:ind w:left="2160" w:firstLine="720"/>
        <w:rPr>
          <w:rFonts w:ascii="Georgia" w:hAnsi="Georgia"/>
        </w:rPr>
      </w:pPr>
      <w:r>
        <w:rPr>
          <w:rFonts w:ascii="Georgia" w:hAnsi="Georgia"/>
        </w:rPr>
        <w:t>ALLE AZIENDE ASSOCIATE</w:t>
      </w:r>
    </w:p>
    <w:p w14:paraId="60C6878B" w14:textId="77777777" w:rsidR="0040740F" w:rsidRDefault="0040740F" w:rsidP="0040740F">
      <w:pPr>
        <w:pStyle w:val="Normale1"/>
        <w:jc w:val="both"/>
        <w:rPr>
          <w:rFonts w:ascii="Georgia" w:hAnsi="Georgia"/>
        </w:rPr>
      </w:pPr>
    </w:p>
    <w:p w14:paraId="3CAF2A2C" w14:textId="4917445B" w:rsidR="0040740F" w:rsidRPr="0040740F" w:rsidRDefault="0040740F" w:rsidP="0040740F">
      <w:pPr>
        <w:pStyle w:val="Normale1"/>
        <w:jc w:val="both"/>
        <w:rPr>
          <w:rFonts w:ascii="Times New Roman" w:hAnsi="Times New Roman" w:cs="Times New Roman"/>
          <w:sz w:val="24"/>
          <w:szCs w:val="24"/>
        </w:rPr>
      </w:pPr>
      <w:r w:rsidRPr="0040740F">
        <w:rPr>
          <w:rFonts w:ascii="Times New Roman" w:hAnsi="Times New Roman" w:cs="Times New Roman"/>
          <w:sz w:val="24"/>
          <w:szCs w:val="24"/>
        </w:rPr>
        <w:t>Macerata 28.03.2024</w:t>
      </w:r>
    </w:p>
    <w:p w14:paraId="22B769E0" w14:textId="77777777" w:rsidR="0040740F" w:rsidRPr="0040740F" w:rsidRDefault="0040740F" w:rsidP="0040740F">
      <w:pPr>
        <w:pStyle w:val="Normale1"/>
        <w:jc w:val="both"/>
        <w:rPr>
          <w:rFonts w:ascii="Times New Roman" w:hAnsi="Times New Roman" w:cs="Times New Roman"/>
          <w:sz w:val="24"/>
          <w:szCs w:val="24"/>
        </w:rPr>
      </w:pPr>
    </w:p>
    <w:p w14:paraId="175CF586" w14:textId="3B4AB930" w:rsidR="0040740F" w:rsidRPr="0040740F" w:rsidRDefault="0040740F" w:rsidP="0040740F">
      <w:pPr>
        <w:pStyle w:val="Normale1"/>
        <w:jc w:val="both"/>
        <w:rPr>
          <w:rFonts w:ascii="Times New Roman" w:hAnsi="Times New Roman" w:cs="Times New Roman"/>
          <w:sz w:val="24"/>
          <w:szCs w:val="24"/>
        </w:rPr>
      </w:pPr>
      <w:r w:rsidRPr="0040740F">
        <w:rPr>
          <w:rFonts w:ascii="Times New Roman" w:hAnsi="Times New Roman" w:cs="Times New Roman"/>
          <w:sz w:val="24"/>
          <w:szCs w:val="24"/>
        </w:rPr>
        <w:t>Info/51.24/ANAC su incompatibilità incarichi A.U. di società a controllo pubblico</w:t>
      </w:r>
    </w:p>
    <w:p w14:paraId="30423527" w14:textId="77777777" w:rsidR="005A4B93" w:rsidRDefault="005A4B93" w:rsidP="006B31EF">
      <w:pPr>
        <w:pStyle w:val="Normale1"/>
        <w:rPr>
          <w:rFonts w:ascii="Georgia" w:hAnsi="Georgia"/>
        </w:rPr>
      </w:pPr>
    </w:p>
    <w:p w14:paraId="76FDE870" w14:textId="77777777" w:rsidR="005A4B93" w:rsidRDefault="005A4B93" w:rsidP="0040740F">
      <w:pPr>
        <w:pStyle w:val="Normale1"/>
        <w:jc w:val="both"/>
        <w:rPr>
          <w:rFonts w:ascii="Georgia" w:hAnsi="Georgia"/>
        </w:rPr>
      </w:pPr>
    </w:p>
    <w:p w14:paraId="2AA7FEF6" w14:textId="32E46A08" w:rsidR="00A92E93" w:rsidRPr="00A92E93" w:rsidRDefault="00A92E93" w:rsidP="00A92E93">
      <w:pPr>
        <w:pStyle w:val="Titolo2"/>
        <w:shd w:val="clear" w:color="auto" w:fill="FFFFFF"/>
        <w:spacing w:before="0" w:after="0" w:line="240" w:lineRule="atLeast"/>
        <w:rPr>
          <w:rFonts w:ascii="Times New Roman" w:hAnsi="Times New Roman" w:cs="Times New Roman"/>
          <w:b/>
          <w:bCs/>
          <w:sz w:val="28"/>
          <w:szCs w:val="28"/>
        </w:rPr>
      </w:pPr>
      <w:r w:rsidRPr="00A92E93">
        <w:rPr>
          <w:rFonts w:ascii="Times New Roman" w:hAnsi="Times New Roman" w:cs="Times New Roman"/>
          <w:b/>
          <w:bCs/>
          <w:sz w:val="28"/>
          <w:szCs w:val="28"/>
        </w:rPr>
        <w:t>AN</w:t>
      </w:r>
      <w:r w:rsidR="0040740F">
        <w:rPr>
          <w:rFonts w:ascii="Times New Roman" w:hAnsi="Times New Roman" w:cs="Times New Roman"/>
          <w:b/>
          <w:bCs/>
          <w:sz w:val="28"/>
          <w:szCs w:val="28"/>
        </w:rPr>
        <w:t>AC</w:t>
      </w:r>
      <w:r w:rsidRPr="00A92E93">
        <w:rPr>
          <w:rFonts w:ascii="Times New Roman" w:hAnsi="Times New Roman" w:cs="Times New Roman"/>
          <w:b/>
          <w:bCs/>
          <w:sz w:val="28"/>
          <w:szCs w:val="28"/>
        </w:rPr>
        <w:t xml:space="preserve"> SUGLI INCARICHI DELL’AMMINISTRATORE UNICO DELLA MUNICIPALIZZATA DEI RIFIUTI</w:t>
      </w:r>
    </w:p>
    <w:p w14:paraId="314EE095" w14:textId="77777777" w:rsidR="00A92E93" w:rsidRDefault="00A92E93" w:rsidP="00A92E93">
      <w:pPr>
        <w:pStyle w:val="Titolo2"/>
        <w:shd w:val="clear" w:color="auto" w:fill="FFFFFF"/>
        <w:spacing w:before="0" w:after="0" w:line="240" w:lineRule="atLeast"/>
        <w:rPr>
          <w:rFonts w:ascii="Times New Roman" w:hAnsi="Times New Roman" w:cs="Times New Roman"/>
          <w:b/>
          <w:bCs/>
          <w:sz w:val="28"/>
          <w:szCs w:val="28"/>
        </w:rPr>
      </w:pPr>
      <w:r w:rsidRPr="00A92E93">
        <w:rPr>
          <w:rFonts w:ascii="Times New Roman" w:hAnsi="Times New Roman" w:cs="Times New Roman"/>
          <w:b/>
          <w:bCs/>
          <w:sz w:val="28"/>
          <w:szCs w:val="28"/>
        </w:rPr>
        <w:t xml:space="preserve">NON C’È INCOMPATIBILITÀ </w:t>
      </w:r>
    </w:p>
    <w:p w14:paraId="303039F2" w14:textId="04183FA9" w:rsidR="00A92E93" w:rsidRDefault="00A92E93" w:rsidP="00A92E93">
      <w:pPr>
        <w:pStyle w:val="Titolo2"/>
        <w:shd w:val="clear" w:color="auto" w:fill="FFFFFF"/>
        <w:spacing w:before="0" w:after="0" w:line="240" w:lineRule="atLeast"/>
        <w:rPr>
          <w:rFonts w:ascii="Times New Roman" w:hAnsi="Times New Roman" w:cs="Times New Roman"/>
          <w:b/>
          <w:bCs/>
          <w:sz w:val="28"/>
          <w:szCs w:val="28"/>
        </w:rPr>
      </w:pPr>
      <w:r w:rsidRPr="00A92E93">
        <w:rPr>
          <w:rFonts w:ascii="Times New Roman" w:hAnsi="Times New Roman" w:cs="Times New Roman"/>
          <w:b/>
          <w:bCs/>
          <w:sz w:val="28"/>
          <w:szCs w:val="28"/>
        </w:rPr>
        <w:t>MA RISCHI DI CONFLITTI DI INTERESSI</w:t>
      </w:r>
    </w:p>
    <w:p w14:paraId="2A6D84F5" w14:textId="003D6D42" w:rsidR="0040740F" w:rsidRPr="0040740F" w:rsidRDefault="0040740F" w:rsidP="0040740F">
      <w:pPr>
        <w:pStyle w:val="Normale1"/>
      </w:pPr>
      <w:r>
        <w:t>----------------------------------------------------------------------------------------------------------------------</w:t>
      </w:r>
    </w:p>
    <w:p w14:paraId="1F274E3C" w14:textId="1D8F9B32" w:rsidR="00A92E93" w:rsidRPr="00A92E93" w:rsidRDefault="00A92E93" w:rsidP="00A92E93">
      <w:pPr>
        <w:rPr>
          <w:rFonts w:ascii="Times New Roman" w:hAnsi="Times New Roman" w:cs="Times New Roman"/>
          <w:color w:val="828282"/>
          <w:sz w:val="24"/>
          <w:szCs w:val="24"/>
        </w:rPr>
      </w:pPr>
    </w:p>
    <w:p w14:paraId="5097C942" w14:textId="721C6664" w:rsidR="00A92E93" w:rsidRPr="00A92E93" w:rsidRDefault="00A92E93" w:rsidP="00A92E93">
      <w:pPr>
        <w:pStyle w:val="NormaleWeb"/>
        <w:spacing w:before="0" w:beforeAutospacing="0" w:after="375" w:afterAutospacing="0"/>
        <w:jc w:val="both"/>
      </w:pPr>
      <w:r w:rsidRPr="00A92E93">
        <w:rPr>
          <w:shd w:val="clear" w:color="auto" w:fill="FFFFFF"/>
        </w:rPr>
        <w:t>Gli </w:t>
      </w:r>
      <w:r w:rsidRPr="00A92E93">
        <w:rPr>
          <w:rStyle w:val="Enfasigrassetto"/>
          <w:shd w:val="clear" w:color="auto" w:fill="FFFFFF"/>
        </w:rPr>
        <w:t>incarichi dirigenziali</w:t>
      </w:r>
      <w:r w:rsidRPr="00A92E93">
        <w:rPr>
          <w:shd w:val="clear" w:color="auto" w:fill="FFFFFF"/>
        </w:rPr>
        <w:t> </w:t>
      </w:r>
      <w:r w:rsidRPr="00A92E93">
        <w:rPr>
          <w:b/>
          <w:bCs/>
          <w:shd w:val="clear" w:color="auto" w:fill="FFFFFF"/>
        </w:rPr>
        <w:t>negli enti di diritto privato in controllo pubblico</w:t>
      </w:r>
      <w:r w:rsidRPr="00A92E93">
        <w:rPr>
          <w:shd w:val="clear" w:color="auto" w:fill="FFFFFF"/>
        </w:rPr>
        <w:t xml:space="preserve"> di livello provinciale o comunale sono </w:t>
      </w:r>
      <w:r w:rsidRPr="00A92E93">
        <w:rPr>
          <w:rStyle w:val="Enfasigrassetto"/>
          <w:shd w:val="clear" w:color="auto" w:fill="FFFFFF"/>
        </w:rPr>
        <w:t>incompatibili</w:t>
      </w:r>
      <w:r w:rsidRPr="00A92E93">
        <w:rPr>
          <w:shd w:val="clear" w:color="auto" w:fill="FFFFFF"/>
        </w:rPr>
        <w:t xml:space="preserve"> con la carica di componente di organi di indirizzo negli enti di diritto privato in controllo pubblico da parte di comuni con popolazione superiore ai 15.000 abitanti della stessa regione </w:t>
      </w:r>
      <w:r w:rsidRPr="0040740F">
        <w:rPr>
          <w:b/>
          <w:bCs/>
          <w:shd w:val="clear" w:color="auto" w:fill="FFFFFF"/>
        </w:rPr>
        <w:t>solo se presenti entrambi i seguenti due requisiti</w:t>
      </w:r>
      <w:r w:rsidRPr="00A92E93">
        <w:rPr>
          <w:shd w:val="clear" w:color="auto" w:fill="FFFFFF"/>
        </w:rPr>
        <w:t>: l’incarico dirigenziale e la carica di componente dell’organo di indirizzo, secondo le peculiari definizioni fornite del </w:t>
      </w:r>
      <w:r w:rsidRPr="00A92E93">
        <w:rPr>
          <w:rStyle w:val="Enfasigrassetto"/>
          <w:shd w:val="clear" w:color="auto" w:fill="FFFFFF"/>
        </w:rPr>
        <w:t>d.lgs. 39/2013</w:t>
      </w:r>
      <w:r w:rsidRPr="00A92E93">
        <w:rPr>
          <w:shd w:val="clear" w:color="auto" w:fill="FFFFFF"/>
        </w:rPr>
        <w:t>. Altrimenti non sussiste ipotesi di incompatibilità.</w:t>
      </w:r>
    </w:p>
    <w:p w14:paraId="58576717" w14:textId="10ACD946" w:rsidR="00A92E93" w:rsidRPr="00A92E93" w:rsidRDefault="00A92E93" w:rsidP="00A92E93">
      <w:pPr>
        <w:pStyle w:val="NormaleWeb"/>
        <w:spacing w:before="0" w:beforeAutospacing="0" w:after="375" w:afterAutospacing="0"/>
        <w:jc w:val="both"/>
        <w:rPr>
          <w:color w:val="232323"/>
        </w:rPr>
      </w:pPr>
      <w:r>
        <w:rPr>
          <w:color w:val="232323"/>
        </w:rPr>
        <w:t>Così ha deliberato l’AN</w:t>
      </w:r>
      <w:r w:rsidR="0040740F">
        <w:rPr>
          <w:color w:val="232323"/>
        </w:rPr>
        <w:t>A</w:t>
      </w:r>
      <w:r w:rsidRPr="00A92E93">
        <w:rPr>
          <w:color w:val="232323"/>
        </w:rPr>
        <w:t>C</w:t>
      </w:r>
      <w:r w:rsidR="0040740F">
        <w:rPr>
          <w:color w:val="232323"/>
        </w:rPr>
        <w:t xml:space="preserve"> (l’Autorità Nazionale Anticorruzione) c</w:t>
      </w:r>
      <w:r w:rsidRPr="00A92E93">
        <w:rPr>
          <w:color w:val="232323"/>
        </w:rPr>
        <w:t>on </w:t>
      </w:r>
      <w:r w:rsidRPr="00A92E93">
        <w:rPr>
          <w:rStyle w:val="Enfasigrassetto"/>
          <w:color w:val="232323"/>
        </w:rPr>
        <w:t>delibera n. 136 del 13 marzo 2024</w:t>
      </w:r>
      <w:r w:rsidRPr="00A92E93">
        <w:rPr>
          <w:color w:val="232323"/>
        </w:rPr>
        <w:t> </w:t>
      </w:r>
      <w:r w:rsidR="0040740F">
        <w:rPr>
          <w:color w:val="232323"/>
        </w:rPr>
        <w:t xml:space="preserve">riguardo alla </w:t>
      </w:r>
      <w:r w:rsidRPr="00A92E93">
        <w:rPr>
          <w:color w:val="232323"/>
        </w:rPr>
        <w:t xml:space="preserve">questione </w:t>
      </w:r>
      <w:r w:rsidR="0040740F">
        <w:rPr>
          <w:color w:val="232323"/>
        </w:rPr>
        <w:t>scaturita in riferimento</w:t>
      </w:r>
      <w:r w:rsidRPr="00A92E93">
        <w:rPr>
          <w:color w:val="232323"/>
        </w:rPr>
        <w:t xml:space="preserve"> ad un amministratore unico della società di rifiuti di un Comune capoluogo di regione, che riveste anche l’incarico di direttore tecnico di un’altra società in controllo pubblico, che si occupa della gestione integrata dei rifiuti della stessa provincia.</w:t>
      </w:r>
    </w:p>
    <w:p w14:paraId="2C1ABEC4" w14:textId="4510089C" w:rsidR="00A92E93" w:rsidRPr="00A92E93" w:rsidRDefault="00A92E93" w:rsidP="00A92E93">
      <w:pPr>
        <w:pStyle w:val="NormaleWeb"/>
        <w:spacing w:before="0" w:beforeAutospacing="0" w:after="375" w:afterAutospacing="0"/>
        <w:jc w:val="both"/>
        <w:rPr>
          <w:color w:val="232323"/>
        </w:rPr>
      </w:pPr>
      <w:r w:rsidRPr="00A92E93">
        <w:rPr>
          <w:color w:val="232323"/>
        </w:rPr>
        <w:t>Secondo l’Autorità, all’esito di attento esame della peculiare struttura organizzativa della società e dei relativi contratti, non vi è incompatibilità in quanto l’essere responsabile della direzione tecnica non è apparso assimilabile</w:t>
      </w:r>
      <w:r w:rsidR="0040740F">
        <w:rPr>
          <w:color w:val="232323"/>
        </w:rPr>
        <w:t xml:space="preserve">, </w:t>
      </w:r>
      <w:r w:rsidRPr="00A92E93">
        <w:rPr>
          <w:color w:val="232323"/>
        </w:rPr>
        <w:t>nel caso specifico</w:t>
      </w:r>
      <w:r w:rsidR="0040740F">
        <w:rPr>
          <w:color w:val="232323"/>
        </w:rPr>
        <w:t xml:space="preserve">, </w:t>
      </w:r>
      <w:r w:rsidRPr="00A92E93">
        <w:rPr>
          <w:color w:val="232323"/>
        </w:rPr>
        <w:t>ad un “incarico dirigenziale” ai sensi del D.lgs. 39/2013. </w:t>
      </w:r>
    </w:p>
    <w:p w14:paraId="19151DC7" w14:textId="77777777" w:rsidR="00A92E93" w:rsidRPr="00A92E93" w:rsidRDefault="00A92E93" w:rsidP="00A92E93">
      <w:pPr>
        <w:pStyle w:val="NormaleWeb"/>
        <w:spacing w:before="0" w:beforeAutospacing="0" w:after="375" w:afterAutospacing="0"/>
        <w:jc w:val="both"/>
        <w:rPr>
          <w:color w:val="232323"/>
        </w:rPr>
      </w:pPr>
      <w:r w:rsidRPr="00A92E93">
        <w:rPr>
          <w:color w:val="232323"/>
        </w:rPr>
        <w:t>L’Autorità, però, evidenzia la potenzialità di conflitti di interessi conseguenti ad un cumulo di cariche in capo al medesimo soggetto, richiamando gli enti di appartenenza alla vigilanza di competenza.</w:t>
      </w:r>
    </w:p>
    <w:p w14:paraId="77F5CFF4" w14:textId="5FA356B1" w:rsidR="005A4B93" w:rsidRPr="0040740F" w:rsidRDefault="0040740F" w:rsidP="0040740F">
      <w:pPr>
        <w:pStyle w:val="NormaleWeb"/>
        <w:spacing w:before="0" w:beforeAutospacing="0" w:after="375" w:afterAutospacing="0"/>
        <w:jc w:val="both"/>
        <w:rPr>
          <w:color w:val="232323"/>
        </w:rPr>
      </w:pPr>
      <w:r>
        <w:rPr>
          <w:color w:val="232323"/>
        </w:rPr>
        <w:t>Per gli interessati si fa</w:t>
      </w:r>
      <w:r w:rsidR="00A92E93" w:rsidRPr="00A92E93">
        <w:rPr>
          <w:color w:val="232323"/>
        </w:rPr>
        <w:t xml:space="preserve"> rinvio alla delibera all</w:t>
      </w:r>
      <w:r>
        <w:rPr>
          <w:color w:val="232323"/>
        </w:rPr>
        <w:t>egata.</w:t>
      </w:r>
    </w:p>
    <w:p w14:paraId="2C37AF2A" w14:textId="77777777" w:rsidR="005A4B93" w:rsidRDefault="005A4B93" w:rsidP="006B31EF">
      <w:pPr>
        <w:pStyle w:val="Normale1"/>
        <w:rPr>
          <w:rFonts w:ascii="Georgia" w:hAnsi="Georgia"/>
        </w:rPr>
      </w:pPr>
    </w:p>
    <w:p w14:paraId="0A8C6CF3" w14:textId="77777777" w:rsidR="00624576" w:rsidRDefault="00624576" w:rsidP="00402B5B">
      <w:pPr>
        <w:pStyle w:val="Normale1"/>
        <w:jc w:val="both"/>
        <w:rPr>
          <w:rFonts w:ascii="Georgia" w:hAnsi="Georgia"/>
        </w:rPr>
      </w:pPr>
    </w:p>
    <w:p w14:paraId="483C6105" w14:textId="19B2A605" w:rsidR="006B337F" w:rsidRPr="00F20441" w:rsidRDefault="00651ADA" w:rsidP="006B31EF">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amis@ticertifica.it  </w:t>
      </w:r>
      <w:r w:rsidRPr="00F20441">
        <w:rPr>
          <w:rFonts w:ascii="Georgia" w:hAnsi="Georgia"/>
          <w:color w:val="009FE3"/>
        </w:rPr>
        <w:t>info@ami</w:t>
      </w:r>
      <w:r w:rsidR="00F20441">
        <w:rPr>
          <w:rFonts w:ascii="Georgia" w:hAnsi="Georgia"/>
          <w:color w:val="009FE3"/>
        </w:rPr>
        <w:t>srifiuti.</w:t>
      </w:r>
      <w:r w:rsidR="00E66A65">
        <w:rPr>
          <w:rFonts w:ascii="Georgia" w:hAnsi="Georgia"/>
          <w:color w:val="009FE3"/>
        </w:rPr>
        <w:t>it</w:t>
      </w:r>
      <w:r w:rsidR="00F20441">
        <w:rPr>
          <w:rFonts w:ascii="Georgia" w:hAnsi="Georgia"/>
          <w:color w:val="009FE3"/>
        </w:rPr>
        <w:t xml:space="preserve"> www.amisrifiuti.</w:t>
      </w:r>
      <w:r w:rsidR="00E66A65">
        <w:rPr>
          <w:rFonts w:ascii="Georgia" w:hAnsi="Georgia"/>
          <w:color w:val="009FE3"/>
        </w:rPr>
        <w:t>it</w:t>
      </w:r>
    </w:p>
    <w:sectPr w:rsidR="006B337F" w:rsidRPr="00F20441" w:rsidSect="00BA51D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24C89" w14:textId="77777777" w:rsidR="00BA51DA" w:rsidRDefault="00BA51DA" w:rsidP="00B913C9">
      <w:pPr>
        <w:spacing w:line="240" w:lineRule="auto"/>
      </w:pPr>
      <w:r>
        <w:separator/>
      </w:r>
    </w:p>
  </w:endnote>
  <w:endnote w:type="continuationSeparator" w:id="0">
    <w:p w14:paraId="61809395" w14:textId="77777777" w:rsidR="00BA51DA" w:rsidRDefault="00BA51DA"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C6250" w14:textId="77777777" w:rsidR="00BA51DA" w:rsidRDefault="00BA51DA" w:rsidP="00B913C9">
      <w:pPr>
        <w:spacing w:line="240" w:lineRule="auto"/>
      </w:pPr>
      <w:r>
        <w:separator/>
      </w:r>
    </w:p>
  </w:footnote>
  <w:footnote w:type="continuationSeparator" w:id="0">
    <w:p w14:paraId="6855312D" w14:textId="77777777" w:rsidR="00BA51DA" w:rsidRDefault="00BA51DA"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00C7"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9464097">
    <w:abstractNumId w:val="6"/>
  </w:num>
  <w:num w:numId="2" w16cid:durableId="1865240364">
    <w:abstractNumId w:val="5"/>
  </w:num>
  <w:num w:numId="3" w16cid:durableId="1340237603">
    <w:abstractNumId w:val="7"/>
  </w:num>
  <w:num w:numId="4" w16cid:durableId="1338727115">
    <w:abstractNumId w:val="0"/>
  </w:num>
  <w:num w:numId="5" w16cid:durableId="109863168">
    <w:abstractNumId w:val="4"/>
  </w:num>
  <w:num w:numId="6" w16cid:durableId="1203597513">
    <w:abstractNumId w:val="2"/>
  </w:num>
  <w:num w:numId="7" w16cid:durableId="856693683">
    <w:abstractNumId w:val="1"/>
  </w:num>
  <w:num w:numId="8" w16cid:durableId="75643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22B4"/>
    <w:rsid w:val="000347BB"/>
    <w:rsid w:val="00056C94"/>
    <w:rsid w:val="0006139E"/>
    <w:rsid w:val="0008625E"/>
    <w:rsid w:val="00086358"/>
    <w:rsid w:val="000977DC"/>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0740F"/>
    <w:rsid w:val="00410873"/>
    <w:rsid w:val="00436DB7"/>
    <w:rsid w:val="00482B79"/>
    <w:rsid w:val="004B2186"/>
    <w:rsid w:val="004B49CA"/>
    <w:rsid w:val="004B7645"/>
    <w:rsid w:val="0058349A"/>
    <w:rsid w:val="005A4B93"/>
    <w:rsid w:val="00617765"/>
    <w:rsid w:val="00624576"/>
    <w:rsid w:val="00633742"/>
    <w:rsid w:val="00651ADA"/>
    <w:rsid w:val="00655E0C"/>
    <w:rsid w:val="00662BC7"/>
    <w:rsid w:val="00672702"/>
    <w:rsid w:val="006B31EF"/>
    <w:rsid w:val="006B337F"/>
    <w:rsid w:val="006D44EE"/>
    <w:rsid w:val="00705B1A"/>
    <w:rsid w:val="00712A87"/>
    <w:rsid w:val="007A7F0A"/>
    <w:rsid w:val="00826E5A"/>
    <w:rsid w:val="00844B21"/>
    <w:rsid w:val="008A618F"/>
    <w:rsid w:val="008B563E"/>
    <w:rsid w:val="008D652E"/>
    <w:rsid w:val="00905C7F"/>
    <w:rsid w:val="009125D5"/>
    <w:rsid w:val="00953195"/>
    <w:rsid w:val="009535E2"/>
    <w:rsid w:val="00982C7B"/>
    <w:rsid w:val="009934FA"/>
    <w:rsid w:val="009A2EE4"/>
    <w:rsid w:val="009B1E41"/>
    <w:rsid w:val="009E2468"/>
    <w:rsid w:val="00A53E78"/>
    <w:rsid w:val="00A568C8"/>
    <w:rsid w:val="00A75D17"/>
    <w:rsid w:val="00A92E93"/>
    <w:rsid w:val="00AB2758"/>
    <w:rsid w:val="00AF60DB"/>
    <w:rsid w:val="00B044B8"/>
    <w:rsid w:val="00B32BBF"/>
    <w:rsid w:val="00B665BE"/>
    <w:rsid w:val="00B913C9"/>
    <w:rsid w:val="00B9729C"/>
    <w:rsid w:val="00BA51DA"/>
    <w:rsid w:val="00BD4241"/>
    <w:rsid w:val="00C72FE4"/>
    <w:rsid w:val="00C82713"/>
    <w:rsid w:val="00CE4C46"/>
    <w:rsid w:val="00CE4FF8"/>
    <w:rsid w:val="00CF29BE"/>
    <w:rsid w:val="00D03A87"/>
    <w:rsid w:val="00D40B93"/>
    <w:rsid w:val="00D8168C"/>
    <w:rsid w:val="00DA3B9A"/>
    <w:rsid w:val="00DB58C4"/>
    <w:rsid w:val="00DC1A26"/>
    <w:rsid w:val="00E44219"/>
    <w:rsid w:val="00E4448E"/>
    <w:rsid w:val="00E66A65"/>
    <w:rsid w:val="00E9185D"/>
    <w:rsid w:val="00E9794F"/>
    <w:rsid w:val="00EE1886"/>
    <w:rsid w:val="00EF5D33"/>
    <w:rsid w:val="00F1144D"/>
    <w:rsid w:val="00F20441"/>
    <w:rsid w:val="00F6437E"/>
    <w:rsid w:val="00F70D19"/>
    <w:rsid w:val="00FD4854"/>
    <w:rsid w:val="00FD5940"/>
    <w:rsid w:val="00FF6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928B"/>
  <w15:docId w15:val="{B01404A9-B7F6-4C19-B868-4DBF58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6970">
      <w:bodyDiv w:val="1"/>
      <w:marLeft w:val="0"/>
      <w:marRight w:val="0"/>
      <w:marTop w:val="0"/>
      <w:marBottom w:val="0"/>
      <w:divBdr>
        <w:top w:val="none" w:sz="0" w:space="0" w:color="auto"/>
        <w:left w:val="none" w:sz="0" w:space="0" w:color="auto"/>
        <w:bottom w:val="none" w:sz="0" w:space="0" w:color="auto"/>
        <w:right w:val="none" w:sz="0" w:space="0" w:color="auto"/>
      </w:divBdr>
      <w:divsChild>
        <w:div w:id="58215099">
          <w:marLeft w:val="0"/>
          <w:marRight w:val="0"/>
          <w:marTop w:val="0"/>
          <w:marBottom w:val="0"/>
          <w:divBdr>
            <w:top w:val="none" w:sz="0" w:space="0" w:color="auto"/>
            <w:left w:val="none" w:sz="0" w:space="0" w:color="auto"/>
            <w:bottom w:val="none" w:sz="0" w:space="0" w:color="auto"/>
            <w:right w:val="none" w:sz="0" w:space="0" w:color="auto"/>
          </w:divBdr>
          <w:divsChild>
            <w:div w:id="21124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5271">
      <w:bodyDiv w:val="1"/>
      <w:marLeft w:val="0"/>
      <w:marRight w:val="0"/>
      <w:marTop w:val="0"/>
      <w:marBottom w:val="0"/>
      <w:divBdr>
        <w:top w:val="none" w:sz="0" w:space="0" w:color="auto"/>
        <w:left w:val="none" w:sz="0" w:space="0" w:color="auto"/>
        <w:bottom w:val="none" w:sz="0" w:space="0" w:color="auto"/>
        <w:right w:val="none" w:sz="0" w:space="0" w:color="auto"/>
      </w:divBdr>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1867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marina leombruni</cp:lastModifiedBy>
  <cp:revision>2</cp:revision>
  <cp:lastPrinted>2022-06-30T08:26:00Z</cp:lastPrinted>
  <dcterms:created xsi:type="dcterms:W3CDTF">2024-03-28T14:30:00Z</dcterms:created>
  <dcterms:modified xsi:type="dcterms:W3CDTF">2024-03-28T14:30:00Z</dcterms:modified>
</cp:coreProperties>
</file>